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黄山</w:t>
      </w:r>
      <w:r>
        <w:rPr>
          <w:rFonts w:hint="eastAsia" w:ascii="方正小标宋_GBK" w:hAnsi="方正小标宋_GBK" w:eastAsia="方正小标宋_GBK" w:cs="方正小标宋_GBK"/>
          <w:sz w:val="44"/>
          <w:szCs w:val="44"/>
        </w:rPr>
        <w:t>市义务教育薄弱环节改善与能力提升补助资金转移支付202</w:t>
      </w:r>
      <w:r>
        <w:rPr>
          <w:rFonts w:hint="eastAsia" w:ascii="方正小标宋_GBK" w:hAnsi="方正小标宋_GBK" w:eastAsia="方正小标宋_GBK" w:cs="方正小标宋_GBK"/>
          <w:sz w:val="44"/>
          <w:szCs w:val="44"/>
          <w:lang w:val="en-US" w:eastAsia="zh-CN"/>
        </w:rPr>
        <w:t>4</w:t>
      </w:r>
      <w:r>
        <w:rPr>
          <w:rFonts w:hint="eastAsia" w:ascii="方正小标宋_GBK" w:hAnsi="方正小标宋_GBK" w:eastAsia="方正小标宋_GBK" w:cs="方正小标宋_GBK"/>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一、绩效目标分解下达情况</w:t>
      </w:r>
    </w:p>
    <w:p>
      <w:pPr>
        <w:keepNext w:val="0"/>
        <w:keepLines w:val="0"/>
        <w:pageBreakBefore w:val="0"/>
        <w:kinsoku/>
        <w:wordWrap/>
        <w:overflowPunct/>
        <w:topLinePunct w:val="0"/>
        <w:autoSpaceDE/>
        <w:autoSpaceDN/>
        <w:bidi w:val="0"/>
        <w:adjustRightInd/>
        <w:snapToGrid/>
        <w:spacing w:line="460" w:lineRule="exact"/>
        <w:ind w:firstLine="640" w:firstLineChars="200"/>
        <w:rPr>
          <w:rFonts w:ascii="仿宋" w:hAnsi="仿宋" w:eastAsia="仿宋" w:cs="仿宋"/>
          <w:bCs/>
          <w:sz w:val="32"/>
          <w:szCs w:val="32"/>
        </w:rPr>
      </w:pPr>
      <w:r>
        <w:rPr>
          <w:rFonts w:hint="eastAsia" w:ascii="仿宋" w:hAnsi="仿宋" w:eastAsia="仿宋" w:cs="仿宋"/>
          <w:bCs/>
          <w:sz w:val="32"/>
          <w:szCs w:val="32"/>
          <w:lang w:eastAsia="zh-CN"/>
        </w:rPr>
        <w:t>2024</w:t>
      </w:r>
      <w:r>
        <w:rPr>
          <w:rFonts w:hint="eastAsia" w:ascii="仿宋" w:hAnsi="仿宋" w:eastAsia="仿宋" w:cs="仿宋"/>
          <w:bCs/>
          <w:sz w:val="32"/>
          <w:szCs w:val="32"/>
        </w:rPr>
        <w:t>年，我市累计</w:t>
      </w:r>
      <w:bookmarkStart w:id="0" w:name="OLE_LINK1"/>
      <w:r>
        <w:rPr>
          <w:rFonts w:hint="eastAsia" w:ascii="仿宋" w:hAnsi="仿宋" w:eastAsia="仿宋" w:cs="仿宋"/>
          <w:bCs/>
          <w:sz w:val="32"/>
          <w:szCs w:val="32"/>
        </w:rPr>
        <w:t>投入</w:t>
      </w:r>
      <w:r>
        <w:rPr>
          <w:rFonts w:hint="eastAsia" w:ascii="仿宋" w:hAnsi="仿宋" w:eastAsia="仿宋" w:cs="仿宋"/>
          <w:bCs/>
          <w:sz w:val="32"/>
          <w:szCs w:val="32"/>
          <w:lang w:val="en-US" w:eastAsia="zh-CN"/>
        </w:rPr>
        <w:t>3906.2</w:t>
      </w:r>
      <w:r>
        <w:rPr>
          <w:rFonts w:hint="eastAsia" w:ascii="仿宋" w:hAnsi="仿宋" w:eastAsia="仿宋" w:cs="仿宋"/>
          <w:bCs/>
          <w:sz w:val="32"/>
          <w:szCs w:val="32"/>
        </w:rPr>
        <w:t>万元用于义务教育薄弱环节改善与能力提升项目</w:t>
      </w:r>
      <w:bookmarkEnd w:id="0"/>
      <w:r>
        <w:rPr>
          <w:rFonts w:hint="eastAsia" w:ascii="仿宋" w:hAnsi="仿宋" w:eastAsia="仿宋" w:cs="仿宋"/>
          <w:bCs/>
          <w:sz w:val="32"/>
          <w:szCs w:val="32"/>
        </w:rPr>
        <w:t>，其中</w:t>
      </w:r>
      <w:r>
        <w:rPr>
          <w:rFonts w:hint="eastAsia" w:ascii="仿宋" w:hAnsi="仿宋" w:eastAsia="仿宋" w:cs="仿宋"/>
          <w:bCs/>
          <w:sz w:val="32"/>
          <w:szCs w:val="32"/>
          <w:lang w:val="en-US" w:eastAsia="zh-CN"/>
        </w:rPr>
        <w:t>3826</w:t>
      </w:r>
      <w:r>
        <w:rPr>
          <w:rFonts w:hint="eastAsia" w:ascii="仿宋" w:hAnsi="仿宋" w:eastAsia="仿宋" w:cs="仿宋"/>
          <w:bCs/>
          <w:sz w:val="32"/>
          <w:szCs w:val="32"/>
        </w:rPr>
        <w:t>万元为义务教育薄弱环节改善与能力提升补助资金。具体分配情况如下表：</w:t>
      </w:r>
    </w:p>
    <w:p>
      <w:pPr>
        <w:keepNext w:val="0"/>
        <w:keepLines w:val="0"/>
        <w:pageBreakBefore w:val="0"/>
        <w:kinsoku/>
        <w:wordWrap/>
        <w:overflowPunct/>
        <w:topLinePunct w:val="0"/>
        <w:autoSpaceDE/>
        <w:autoSpaceDN/>
        <w:bidi w:val="0"/>
        <w:adjustRightInd/>
        <w:snapToGrid/>
        <w:spacing w:line="460" w:lineRule="exact"/>
        <w:ind w:firstLine="640" w:firstLineChars="200"/>
        <w:rPr>
          <w:rFonts w:ascii="仿宋" w:hAnsi="仿宋" w:eastAsia="仿宋" w:cs="仿宋"/>
          <w:bCs/>
          <w:sz w:val="32"/>
          <w:szCs w:val="32"/>
        </w:rPr>
      </w:pPr>
    </w:p>
    <w:tbl>
      <w:tblPr>
        <w:tblStyle w:val="4"/>
        <w:tblW w:w="7715" w:type="dxa"/>
        <w:jc w:val="center"/>
        <w:tblLayout w:type="fixed"/>
        <w:tblCellMar>
          <w:top w:w="0" w:type="dxa"/>
          <w:left w:w="108" w:type="dxa"/>
          <w:bottom w:w="0" w:type="dxa"/>
          <w:right w:w="108" w:type="dxa"/>
        </w:tblCellMar>
      </w:tblPr>
      <w:tblGrid>
        <w:gridCol w:w="1910"/>
        <w:gridCol w:w="1731"/>
        <w:gridCol w:w="2160"/>
        <w:gridCol w:w="1914"/>
      </w:tblGrid>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县区名称</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资金合计</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其中：中央资金</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县级资金</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屯溪区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308</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308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黄山区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367</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367</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徽州区</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439.2</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359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80.2</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歙县</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1123</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1123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休宁县</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612</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612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黟县</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409</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409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祁门县</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648</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i w:val="0"/>
                <w:iCs w:val="0"/>
                <w:color w:val="000000"/>
                <w:kern w:val="0"/>
                <w:sz w:val="24"/>
                <w:szCs w:val="24"/>
                <w:u w:val="none"/>
                <w:lang w:val="en-US" w:eastAsia="zh-CN" w:bidi="ar"/>
              </w:rPr>
              <w:t>648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283" w:hRule="atLeast"/>
          <w:jc w:val="center"/>
        </w:trPr>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黄山市合计</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3906.2</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color w:val="000000"/>
                <w:sz w:val="22"/>
                <w:szCs w:val="22"/>
                <w:lang w:val="en-US"/>
              </w:rPr>
            </w:pPr>
            <w:r>
              <w:rPr>
                <w:rFonts w:hint="eastAsia" w:ascii="宋体" w:hAnsi="宋体" w:eastAsia="宋体" w:cs="宋体"/>
                <w:i w:val="0"/>
                <w:iCs w:val="0"/>
                <w:color w:val="000000"/>
                <w:kern w:val="0"/>
                <w:sz w:val="24"/>
                <w:szCs w:val="24"/>
                <w:u w:val="none"/>
                <w:lang w:val="en-US" w:eastAsia="zh-CN" w:bidi="ar"/>
              </w:rPr>
              <w:t>3826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80.2</w:t>
            </w:r>
          </w:p>
        </w:tc>
      </w:tr>
    </w:tbl>
    <w:p>
      <w:pPr>
        <w:keepNext w:val="0"/>
        <w:keepLines w:val="0"/>
        <w:pageBreakBefore w:val="0"/>
        <w:kinsoku/>
        <w:wordWrap/>
        <w:overflowPunct/>
        <w:topLinePunct w:val="0"/>
        <w:autoSpaceDE/>
        <w:autoSpaceDN/>
        <w:bidi w:val="0"/>
        <w:adjustRightInd/>
        <w:snapToGrid/>
        <w:spacing w:line="460" w:lineRule="exact"/>
        <w:rPr>
          <w:rFonts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default" w:ascii="仿宋_GB2312" w:hAnsi="仿宋_GB2312" w:eastAsia="仿宋" w:cs="仿宋_GB2312"/>
          <w:sz w:val="32"/>
          <w:szCs w:val="32"/>
          <w:lang w:val="en-US"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资金投入情况分析。</w:t>
      </w:r>
      <w:r>
        <w:rPr>
          <w:rFonts w:hint="eastAsia" w:ascii="仿宋_GB2312" w:hAnsi="仿宋_GB2312" w:eastAsia="仿宋_GB2312" w:cs="仿宋_GB2312"/>
          <w:sz w:val="32"/>
          <w:szCs w:val="32"/>
          <w:lang w:val="en-US" w:eastAsia="zh-CN"/>
        </w:rPr>
        <w:t>2024年，我市</w:t>
      </w:r>
      <w:r>
        <w:rPr>
          <w:rFonts w:hint="eastAsia" w:ascii="仿宋" w:hAnsi="仿宋" w:eastAsia="仿宋" w:cs="仿宋"/>
          <w:bCs/>
          <w:sz w:val="32"/>
          <w:szCs w:val="32"/>
        </w:rPr>
        <w:t>用于义务教育薄弱环节改善与能力提升项目</w:t>
      </w:r>
      <w:r>
        <w:rPr>
          <w:rFonts w:hint="eastAsia" w:ascii="仿宋" w:hAnsi="仿宋" w:eastAsia="仿宋" w:cs="仿宋"/>
          <w:bCs/>
          <w:sz w:val="32"/>
          <w:szCs w:val="32"/>
          <w:lang w:val="en-US" w:eastAsia="zh-CN"/>
        </w:rPr>
        <w:t>的预算数为3906.2万元</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执行数3886.04万元，执行率99.48%。</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（二）资金管理情况分析。</w:t>
      </w:r>
      <w:r>
        <w:rPr>
          <w:rFonts w:hint="eastAsia" w:ascii="仿宋_GB2312" w:hAnsi="仿宋_GB2312" w:eastAsia="仿宋_GB2312" w:cs="仿宋_GB2312"/>
          <w:sz w:val="32"/>
          <w:szCs w:val="32"/>
          <w:lang w:eastAsia="zh-CN"/>
        </w:rPr>
        <w:t>根据</w:t>
      </w:r>
      <w:bookmarkStart w:id="1" w:name="OLE_LINK2"/>
      <w:r>
        <w:rPr>
          <w:rFonts w:hint="eastAsia" w:ascii="仿宋_GB2312" w:hAnsi="仿宋_GB2312" w:eastAsia="仿宋_GB2312" w:cs="仿宋_GB2312"/>
          <w:sz w:val="32"/>
          <w:szCs w:val="32"/>
          <w:lang w:eastAsia="zh-CN"/>
        </w:rPr>
        <w:t>《安徽省义务教育薄弱环节改善与能力提升补助资金管理办法》</w:t>
      </w:r>
      <w:bookmarkEnd w:id="1"/>
      <w:r>
        <w:rPr>
          <w:rFonts w:hint="eastAsia" w:ascii="仿宋_GB2312" w:hAnsi="仿宋_GB2312" w:eastAsia="仿宋_GB2312" w:cs="仿宋_GB2312"/>
          <w:sz w:val="32"/>
          <w:szCs w:val="32"/>
          <w:lang w:eastAsia="zh-CN"/>
        </w:rPr>
        <w:t>相关规定，确保专项资金专款专用，规范资金管理及使用，依据项目进度及时拨付，接受教育、财政、审计部门的检查和监督，未发现滞留、截留、挤占、挪用、虚列、套取专项资金的现象。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（三）总体绩效目标完成情况分析。</w:t>
      </w:r>
      <w:bookmarkStart w:id="2" w:name="OLE_LINK4"/>
      <w:r>
        <w:rPr>
          <w:rFonts w:hint="eastAsia" w:ascii="仿宋_GB2312" w:hAnsi="仿宋_GB2312" w:eastAsia="仿宋_GB2312" w:cs="仿宋_GB2312"/>
          <w:sz w:val="32"/>
          <w:szCs w:val="32"/>
        </w:rPr>
        <w:t>2024年，我市计划校舍改造和运动场建设等土建类项目面积28000平方米，购置教学、生活等设备设施7558台件套。</w:t>
      </w:r>
      <w:bookmarkEnd w:id="2"/>
      <w:r>
        <w:rPr>
          <w:rFonts w:hint="eastAsia" w:ascii="仿宋_GB2312" w:hAnsi="仿宋_GB2312" w:eastAsia="仿宋_GB2312" w:cs="仿宋_GB2312"/>
          <w:sz w:val="32"/>
          <w:szCs w:val="32"/>
        </w:rPr>
        <w:t>截至12月底，我市已完成所有项目建设任务。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（四）绩效指标完成情况分析。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根据各三级绩效指标值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逐项分析全年实际完成情况</w:t>
      </w:r>
      <w:r>
        <w:rPr>
          <w:rFonts w:hint="eastAsia" w:ascii="仿宋_GB2312" w:hAnsi="仿宋_GB2312" w:eastAsia="仿宋_GB2312" w:cs="仿宋_GB2312"/>
          <w:sz w:val="32"/>
          <w:szCs w:val="32"/>
          <w:lang w:eastAsia="zh-CN"/>
        </w:rPr>
        <w:t>）</w:t>
      </w:r>
    </w:p>
    <w:p>
      <w:pPr>
        <w:spacing w:line="460" w:lineRule="exact"/>
        <w:ind w:firstLine="643" w:firstLineChars="200"/>
        <w:outlineLvl w:val="0"/>
        <w:rPr>
          <w:rFonts w:ascii="仿宋" w:hAnsi="仿宋" w:eastAsia="仿宋" w:cs="仿宋"/>
          <w:b/>
          <w:sz w:val="32"/>
          <w:szCs w:val="32"/>
        </w:rPr>
      </w:pPr>
      <w:r>
        <w:rPr>
          <w:rFonts w:hint="eastAsia" w:ascii="仿宋" w:hAnsi="仿宋" w:eastAsia="仿宋" w:cs="仿宋"/>
          <w:b/>
          <w:sz w:val="32"/>
          <w:szCs w:val="32"/>
        </w:rPr>
        <w:t>1.产出指标完成情况分析</w:t>
      </w:r>
    </w:p>
    <w:p>
      <w:pPr>
        <w:spacing w:line="460" w:lineRule="exact"/>
        <w:ind w:firstLine="640" w:firstLineChars="200"/>
        <w:rPr>
          <w:rFonts w:ascii="仿宋" w:hAnsi="仿宋" w:eastAsia="仿宋" w:cs="仿宋"/>
          <w:bCs/>
          <w:sz w:val="32"/>
          <w:szCs w:val="32"/>
        </w:rPr>
      </w:pPr>
      <w:r>
        <w:rPr>
          <w:rFonts w:hint="eastAsia" w:ascii="仿宋" w:hAnsi="仿宋" w:eastAsia="仿宋" w:cs="仿宋"/>
          <w:bCs/>
          <w:sz w:val="32"/>
          <w:szCs w:val="32"/>
        </w:rPr>
        <w:t>建设项目合格率1</w:t>
      </w:r>
      <w:r>
        <w:rPr>
          <w:rFonts w:ascii="仿宋" w:hAnsi="仿宋" w:eastAsia="仿宋" w:cs="仿宋"/>
          <w:bCs/>
          <w:sz w:val="32"/>
          <w:szCs w:val="32"/>
        </w:rPr>
        <w:t>00%</w:t>
      </w:r>
      <w:r>
        <w:rPr>
          <w:rFonts w:hint="eastAsia" w:ascii="仿宋" w:hAnsi="仿宋" w:eastAsia="仿宋" w:cs="仿宋"/>
          <w:bCs/>
          <w:sz w:val="32"/>
          <w:szCs w:val="32"/>
        </w:rPr>
        <w:t>，设备采购质量合格率1</w:t>
      </w:r>
      <w:r>
        <w:rPr>
          <w:rFonts w:ascii="仿宋" w:hAnsi="仿宋" w:eastAsia="仿宋" w:cs="仿宋"/>
          <w:bCs/>
          <w:sz w:val="32"/>
          <w:szCs w:val="32"/>
        </w:rPr>
        <w:t>00%</w:t>
      </w:r>
      <w:r>
        <w:rPr>
          <w:rFonts w:hint="eastAsia" w:ascii="仿宋" w:hAnsi="仿宋" w:eastAsia="仿宋" w:cs="仿宋"/>
          <w:bCs/>
          <w:sz w:val="32"/>
          <w:szCs w:val="32"/>
        </w:rPr>
        <w:t>，校舍建设年度计划完成率1</w:t>
      </w:r>
      <w:r>
        <w:rPr>
          <w:rFonts w:ascii="仿宋" w:hAnsi="仿宋" w:eastAsia="仿宋" w:cs="仿宋"/>
          <w:bCs/>
          <w:sz w:val="32"/>
          <w:szCs w:val="32"/>
        </w:rPr>
        <w:t>00%</w:t>
      </w:r>
      <w:r>
        <w:rPr>
          <w:rFonts w:hint="eastAsia" w:ascii="仿宋" w:hAnsi="仿宋" w:eastAsia="仿宋" w:cs="仿宋"/>
          <w:bCs/>
          <w:sz w:val="32"/>
          <w:szCs w:val="32"/>
        </w:rPr>
        <w:t>，设备采购年度计划完成率1</w:t>
      </w:r>
      <w:r>
        <w:rPr>
          <w:rFonts w:ascii="仿宋" w:hAnsi="仿宋" w:eastAsia="仿宋" w:cs="仿宋"/>
          <w:bCs/>
          <w:sz w:val="32"/>
          <w:szCs w:val="32"/>
        </w:rPr>
        <w:t>00%</w:t>
      </w:r>
      <w:bookmarkStart w:id="3" w:name="_Hlk67058840"/>
      <w:r>
        <w:rPr>
          <w:rFonts w:hint="eastAsia" w:ascii="仿宋" w:hAnsi="仿宋" w:eastAsia="仿宋" w:cs="仿宋"/>
          <w:bCs/>
          <w:sz w:val="32"/>
          <w:szCs w:val="32"/>
        </w:rPr>
        <w:t>。</w:t>
      </w:r>
      <w:bookmarkEnd w:id="3"/>
    </w:p>
    <w:p>
      <w:pPr>
        <w:spacing w:line="460" w:lineRule="exact"/>
        <w:ind w:firstLine="643" w:firstLineChars="200"/>
        <w:rPr>
          <w:rFonts w:ascii="仿宋" w:hAnsi="仿宋" w:eastAsia="仿宋" w:cs="仿宋"/>
          <w:b/>
          <w:sz w:val="32"/>
          <w:szCs w:val="32"/>
        </w:rPr>
      </w:pPr>
      <w:r>
        <w:rPr>
          <w:rFonts w:hint="eastAsia" w:ascii="仿宋" w:hAnsi="仿宋" w:eastAsia="仿宋" w:cs="仿宋"/>
          <w:b/>
          <w:sz w:val="32"/>
          <w:szCs w:val="32"/>
        </w:rPr>
        <w:t>2.效益指标完成情况分析</w:t>
      </w:r>
    </w:p>
    <w:p>
      <w:pPr>
        <w:spacing w:line="460" w:lineRule="exact"/>
        <w:ind w:firstLine="640" w:firstLineChars="200"/>
        <w:rPr>
          <w:rFonts w:ascii="仿宋" w:hAnsi="仿宋" w:eastAsia="仿宋" w:cs="仿宋"/>
          <w:bCs/>
          <w:sz w:val="32"/>
          <w:szCs w:val="32"/>
        </w:rPr>
      </w:pPr>
      <w:r>
        <w:rPr>
          <w:rFonts w:hint="eastAsia" w:ascii="仿宋" w:hAnsi="仿宋" w:eastAsia="仿宋" w:cs="仿宋"/>
          <w:bCs/>
          <w:sz w:val="32"/>
          <w:szCs w:val="32"/>
        </w:rPr>
        <w:t>我市无5</w:t>
      </w:r>
      <w:r>
        <w:rPr>
          <w:rFonts w:ascii="仿宋" w:hAnsi="仿宋" w:eastAsia="仿宋" w:cs="仿宋"/>
          <w:bCs/>
          <w:sz w:val="32"/>
          <w:szCs w:val="32"/>
        </w:rPr>
        <w:t>6</w:t>
      </w:r>
      <w:r>
        <w:rPr>
          <w:rFonts w:hint="eastAsia" w:ascii="仿宋" w:hAnsi="仿宋" w:eastAsia="仿宋" w:cs="仿宋"/>
          <w:bCs/>
          <w:sz w:val="32"/>
          <w:szCs w:val="32"/>
        </w:rPr>
        <w:t>人以上大班额班级。通过维修教学楼、改造运动场、加强信息化建设、购置教学仪器设备等，进一步改善与提升义务教育薄弱学校基本办学条件，义务教育薄弱环节改善与能力提升补助资金的社会效益更加明显。</w:t>
      </w:r>
    </w:p>
    <w:p>
      <w:pPr>
        <w:spacing w:line="460" w:lineRule="exact"/>
        <w:ind w:left="420" w:leftChars="200"/>
        <w:rPr>
          <w:rFonts w:ascii="仿宋" w:hAnsi="仿宋" w:eastAsia="仿宋" w:cs="仿宋"/>
          <w:b/>
          <w:sz w:val="32"/>
          <w:szCs w:val="32"/>
        </w:rPr>
      </w:pPr>
      <w:r>
        <w:rPr>
          <w:rFonts w:hint="eastAsia" w:ascii="仿宋" w:hAnsi="仿宋" w:eastAsia="仿宋" w:cs="仿宋"/>
          <w:b/>
          <w:sz w:val="32"/>
          <w:szCs w:val="32"/>
        </w:rPr>
        <w:t>3.</w:t>
      </w:r>
      <w:bookmarkStart w:id="4" w:name="_Hlk67060636"/>
      <w:r>
        <w:rPr>
          <w:rFonts w:hint="eastAsia" w:ascii="仿宋" w:hAnsi="仿宋" w:eastAsia="仿宋" w:cs="仿宋"/>
          <w:b/>
          <w:sz w:val="32"/>
          <w:szCs w:val="32"/>
        </w:rPr>
        <w:t>满意度</w:t>
      </w:r>
      <w:bookmarkEnd w:id="4"/>
      <w:r>
        <w:rPr>
          <w:rFonts w:hint="eastAsia" w:ascii="仿宋" w:hAnsi="仿宋" w:eastAsia="仿宋" w:cs="仿宋"/>
          <w:b/>
          <w:sz w:val="32"/>
          <w:szCs w:val="32"/>
        </w:rPr>
        <w:t>指标完成情况分析</w:t>
      </w:r>
    </w:p>
    <w:p>
      <w:pPr>
        <w:spacing w:line="460" w:lineRule="exact"/>
        <w:ind w:firstLine="640" w:firstLineChars="200"/>
        <w:rPr>
          <w:rFonts w:ascii="仿宋" w:hAnsi="仿宋" w:eastAsia="仿宋" w:cs="仿宋"/>
          <w:bCs/>
          <w:sz w:val="32"/>
          <w:szCs w:val="32"/>
          <w:shd w:val="clear" w:color="auto" w:fill="FFFFFF"/>
        </w:rPr>
      </w:pPr>
      <w:r>
        <w:rPr>
          <w:rFonts w:hint="eastAsia" w:ascii="仿宋" w:hAnsi="仿宋" w:eastAsia="仿宋" w:cs="仿宋"/>
          <w:bCs/>
          <w:sz w:val="32"/>
          <w:szCs w:val="32"/>
          <w:shd w:val="clear" w:color="auto" w:fill="FFFFFF"/>
        </w:rPr>
        <w:t>义务教育薄弱环节改善与能力提升项目的实施极大地改善了义务教育薄弱学校基本办学条件，教师、学生和家长对项目的综合满意度大于85％。。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我市严格落实《安徽省</w:t>
      </w:r>
      <w:bookmarkStart w:id="5" w:name="OLE_LINK3"/>
      <w:r>
        <w:rPr>
          <w:rFonts w:hint="eastAsia" w:ascii="仿宋_GB2312" w:hAnsi="仿宋_GB2312" w:eastAsia="仿宋_GB2312" w:cs="仿宋_GB2312"/>
          <w:sz w:val="32"/>
          <w:szCs w:val="32"/>
        </w:rPr>
        <w:t>义务教育薄弱环节改善与能力提升补助资金</w:t>
      </w:r>
      <w:bookmarkEnd w:id="5"/>
      <w:r>
        <w:rPr>
          <w:rFonts w:hint="eastAsia" w:ascii="仿宋_GB2312" w:hAnsi="仿宋_GB2312" w:eastAsia="仿宋_GB2312" w:cs="仿宋_GB2312"/>
          <w:sz w:val="32"/>
          <w:szCs w:val="32"/>
        </w:rPr>
        <w:t>管理办法》有关规定，资金使用合理规范，未偏离绩效目标。下一步我市将继续强化义务教育薄弱环节改善与能力提升补助资金的使用管理，加大项目资金的监管及统筹力度，确保绩效目标的优质完成，进一步提高资金使用效</w:t>
      </w:r>
      <w:bookmarkStart w:id="6" w:name="_GoBack"/>
      <w:bookmarkEnd w:id="6"/>
      <w:r>
        <w:rPr>
          <w:rFonts w:hint="eastAsia" w:ascii="仿宋_GB2312" w:hAnsi="仿宋_GB2312" w:eastAsia="仿宋_GB2312" w:cs="仿宋_GB2312"/>
          <w:sz w:val="32"/>
          <w:szCs w:val="32"/>
        </w:rPr>
        <w:t>益。</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项目绩效自评结果将作为以后项目资金安排的参考依据之一。根据《黄山市财政局关于开展2024年度中央对地方转移支付预算执行情况绩效自评工作的通知》要求，于4月20日前在我局门户网站公开。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义务教育薄弱环节改善与能力提升补助资金转移支付区域（项目）绩效目标自评表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spacing w:line="54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黄</w:t>
      </w:r>
      <w:r>
        <w:rPr>
          <w:rFonts w:ascii="仿宋_GB2312" w:hAnsi="仿宋_GB2312" w:eastAsia="仿宋_GB2312" w:cs="仿宋_GB2312"/>
          <w:sz w:val="32"/>
          <w:szCs w:val="32"/>
        </w:rPr>
        <w:t>山市教育局</w:t>
      </w:r>
      <w:r>
        <w:rPr>
          <w:rFonts w:hint="eastAsia" w:ascii="仿宋_GB2312" w:hAnsi="仿宋_GB2312" w:eastAsia="仿宋_GB2312" w:cs="仿宋_GB2312"/>
          <w:sz w:val="32"/>
          <w:szCs w:val="32"/>
        </w:rPr>
        <w:t xml:space="preserve">              黄</w:t>
      </w:r>
      <w:r>
        <w:rPr>
          <w:rFonts w:ascii="仿宋_GB2312" w:hAnsi="仿宋_GB2312" w:eastAsia="仿宋_GB2312" w:cs="仿宋_GB2312"/>
          <w:sz w:val="32"/>
          <w:szCs w:val="32"/>
        </w:rPr>
        <w:t>山市财政局</w:t>
      </w:r>
    </w:p>
    <w:p>
      <w:pPr>
        <w:spacing w:line="5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05B03"/>
    <w:multiLevelType w:val="singleLevel"/>
    <w:tmpl w:val="9AE05B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ODc3OGE2ODBhMzQ1ZDA5NTI1MWJjNmE5NzgyODcifQ=="/>
    <w:docVar w:name="KSO_WPS_MARK_KEY" w:val="0b4ed4fa-bccf-4c83-8705-676457373e13"/>
  </w:docVars>
  <w:rsids>
    <w:rsidRoot w:val="00000000"/>
    <w:rsid w:val="01A76078"/>
    <w:rsid w:val="08291EFF"/>
    <w:rsid w:val="083038EB"/>
    <w:rsid w:val="1F8038FE"/>
    <w:rsid w:val="290A0F40"/>
    <w:rsid w:val="2F660D46"/>
    <w:rsid w:val="3B576FD4"/>
    <w:rsid w:val="3FCC76E3"/>
    <w:rsid w:val="3FD312C1"/>
    <w:rsid w:val="4877669D"/>
    <w:rsid w:val="50447FC0"/>
    <w:rsid w:val="51A86428"/>
    <w:rsid w:val="53A56FC8"/>
    <w:rsid w:val="74913239"/>
    <w:rsid w:val="75504AD8"/>
    <w:rsid w:val="77565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1039</Words>
  <Characters>1150</Characters>
  <Lines>0</Lines>
  <Paragraphs>0</Paragraphs>
  <TotalTime>0</TotalTime>
  <ScaleCrop>false</ScaleCrop>
  <LinksUpToDate>false</LinksUpToDate>
  <CharactersWithSpaces>1151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2025-03-26T03:09:46Z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9C491AE83A404D9EB45F72BCF8C8C51C</vt:lpwstr>
  </property>
  <property fmtid="{D5CDD505-2E9C-101B-9397-08002B2CF9AE}" pid="4" name="KSOTemplateDocerSaveRecord">
    <vt:lpwstr>eyJoZGlkIjoiYTUzMmRiZDY2OTYwM2M5MTJkOWNhNDk1YjA5MDU1YjkifQ==</vt:lpwstr>
  </property>
</Properties>
</file>